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8995" w14:textId="495F3258" w:rsidR="00ED7E4A" w:rsidRPr="00BF1F22" w:rsidRDefault="00F60897" w:rsidP="00BF1F22">
      <w:pPr>
        <w:jc w:val="center"/>
        <w:rPr>
          <w:b/>
          <w:bCs/>
        </w:rPr>
      </w:pPr>
      <w:r w:rsidRPr="00BF1F22">
        <w:rPr>
          <w:b/>
          <w:bCs/>
        </w:rPr>
        <w:t>CiLCA session five recap notes</w:t>
      </w:r>
    </w:p>
    <w:p w14:paraId="641B2352" w14:textId="0026FA54" w:rsidR="00FC63D2" w:rsidRDefault="00FC63D2"/>
    <w:p w14:paraId="21BE01B2" w14:textId="6493A634" w:rsidR="00D10DB3" w:rsidRPr="00B86666" w:rsidRDefault="00B86666">
      <w:r w:rsidRPr="00B86666">
        <w:t>Today we covered LO14 LO15 LO18 LO19 AND LO20</w:t>
      </w:r>
    </w:p>
    <w:p w14:paraId="72FA7464" w14:textId="5B805F15" w:rsidR="00804A0D" w:rsidRDefault="00804A0D">
      <w:pPr>
        <w:rPr>
          <w:b/>
          <w:bCs/>
        </w:rPr>
      </w:pPr>
      <w:r>
        <w:rPr>
          <w:b/>
          <w:bCs/>
        </w:rPr>
        <w:t>LO18</w:t>
      </w:r>
    </w:p>
    <w:p w14:paraId="66CC9C3E" w14:textId="4D3F30F8" w:rsidR="00804A0D" w:rsidRPr="00EA4102" w:rsidRDefault="008C08EA" w:rsidP="00AC47C6">
      <w:pPr>
        <w:pStyle w:val="ListParagraph"/>
        <w:numPr>
          <w:ilvl w:val="0"/>
          <w:numId w:val="7"/>
        </w:numPr>
      </w:pPr>
      <w:r w:rsidRPr="00EA4102">
        <w:t>Annotated documents can include</w:t>
      </w:r>
      <w:r w:rsidR="00EA4102">
        <w:t xml:space="preserve"> (use extracts rather than whole documents)</w:t>
      </w:r>
      <w:r w:rsidRPr="00EA4102">
        <w:t xml:space="preserve">: </w:t>
      </w:r>
    </w:p>
    <w:p w14:paraId="01E6D8F9" w14:textId="1D1C84B9" w:rsidR="008C08EA" w:rsidRPr="00EA4102" w:rsidRDefault="008C08EA" w:rsidP="00AC47C6">
      <w:pPr>
        <w:pStyle w:val="ListParagraph"/>
        <w:numPr>
          <w:ilvl w:val="1"/>
          <w:numId w:val="7"/>
        </w:numPr>
      </w:pPr>
      <w:r w:rsidRPr="00EA4102">
        <w:t>Financial regulations</w:t>
      </w:r>
    </w:p>
    <w:p w14:paraId="6A1C7FDA" w14:textId="34A28616" w:rsidR="008C08EA" w:rsidRPr="00EA4102" w:rsidRDefault="008C08EA" w:rsidP="00AC47C6">
      <w:pPr>
        <w:pStyle w:val="ListParagraph"/>
        <w:numPr>
          <w:ilvl w:val="1"/>
          <w:numId w:val="7"/>
        </w:numPr>
      </w:pPr>
      <w:r w:rsidRPr="00EA4102">
        <w:t>Standing orders</w:t>
      </w:r>
    </w:p>
    <w:p w14:paraId="59FECF42" w14:textId="13CB7C71" w:rsidR="008C08EA" w:rsidRPr="00EA4102" w:rsidRDefault="008C08EA" w:rsidP="00AC47C6">
      <w:pPr>
        <w:pStyle w:val="ListParagraph"/>
        <w:numPr>
          <w:ilvl w:val="1"/>
          <w:numId w:val="7"/>
        </w:numPr>
      </w:pPr>
      <w:r w:rsidRPr="00EA4102">
        <w:t>Internal controls policy (if applicable)</w:t>
      </w:r>
    </w:p>
    <w:p w14:paraId="0071B187" w14:textId="4952EB08" w:rsidR="008C08EA" w:rsidRPr="00EA4102" w:rsidRDefault="008C08EA" w:rsidP="00AC47C6">
      <w:pPr>
        <w:pStyle w:val="ListParagraph"/>
        <w:numPr>
          <w:ilvl w:val="1"/>
          <w:numId w:val="7"/>
        </w:numPr>
      </w:pPr>
      <w:r w:rsidRPr="00EA4102">
        <w:t xml:space="preserve">Payroll </w:t>
      </w:r>
      <w:r w:rsidR="007A21E5" w:rsidRPr="00EA4102">
        <w:t xml:space="preserve">procedures (can be a written explanation </w:t>
      </w:r>
      <w:proofErr w:type="gramStart"/>
      <w:r w:rsidR="00EA4102" w:rsidRPr="00EA4102">
        <w:t>300 word</w:t>
      </w:r>
      <w:proofErr w:type="gramEnd"/>
      <w:r w:rsidR="00EA4102" w:rsidRPr="00EA4102">
        <w:t xml:space="preserve"> limit)</w:t>
      </w:r>
    </w:p>
    <w:p w14:paraId="69369637" w14:textId="17701B9C" w:rsidR="00AC47C6" w:rsidRDefault="00AC47C6" w:rsidP="00AC47C6">
      <w:pPr>
        <w:pStyle w:val="ListParagraph"/>
        <w:numPr>
          <w:ilvl w:val="0"/>
          <w:numId w:val="7"/>
        </w:numPr>
      </w:pPr>
      <w:r>
        <w:t xml:space="preserve">Remember to use annotation guide on </w:t>
      </w:r>
      <w:proofErr w:type="spellStart"/>
      <w:r>
        <w:t>pg</w:t>
      </w:r>
      <w:proofErr w:type="spellEnd"/>
      <w:r>
        <w:t xml:space="preserve"> 8 of your portfolio</w:t>
      </w:r>
    </w:p>
    <w:p w14:paraId="42DFE77E" w14:textId="08BE167F" w:rsidR="00AC47C6" w:rsidRDefault="009D55B1" w:rsidP="00AC47C6">
      <w:pPr>
        <w:pStyle w:val="ListParagraph"/>
        <w:numPr>
          <w:ilvl w:val="0"/>
          <w:numId w:val="7"/>
        </w:numPr>
      </w:pPr>
      <w:r>
        <w:t>Min 4 regulat</w:t>
      </w:r>
      <w:r w:rsidR="00531914">
        <w:t>ions to annotate</w:t>
      </w:r>
    </w:p>
    <w:p w14:paraId="7F71BF61" w14:textId="438B5ECA" w:rsidR="00B0645A" w:rsidRDefault="00B0645A" w:rsidP="00AC47C6">
      <w:pPr>
        <w:pStyle w:val="ListParagraph"/>
        <w:numPr>
          <w:ilvl w:val="0"/>
          <w:numId w:val="7"/>
        </w:numPr>
      </w:pPr>
      <w:r>
        <w:t xml:space="preserve">Number your documents according to the Learning Outcome </w:t>
      </w:r>
      <w:r w:rsidR="00312C0F">
        <w:t xml:space="preserve">points you are covering. </w:t>
      </w:r>
    </w:p>
    <w:p w14:paraId="530D47A0" w14:textId="77777777" w:rsidR="008C08EA" w:rsidRDefault="008C08EA">
      <w:pPr>
        <w:rPr>
          <w:b/>
          <w:bCs/>
        </w:rPr>
      </w:pPr>
    </w:p>
    <w:p w14:paraId="559733B9" w14:textId="78B2808C" w:rsidR="00D10DB3" w:rsidRDefault="003B3B56">
      <w:pPr>
        <w:rPr>
          <w:b/>
          <w:bCs/>
        </w:rPr>
      </w:pPr>
      <w:r>
        <w:rPr>
          <w:b/>
          <w:bCs/>
        </w:rPr>
        <w:t>LO14</w:t>
      </w:r>
    </w:p>
    <w:p w14:paraId="07E72598" w14:textId="793247C3" w:rsidR="003B3B56" w:rsidRDefault="004F1C3A" w:rsidP="008D6994">
      <w:pPr>
        <w:pStyle w:val="ListParagraph"/>
        <w:numPr>
          <w:ilvl w:val="0"/>
          <w:numId w:val="3"/>
        </w:numPr>
      </w:pPr>
      <w:r w:rsidRPr="004F1C3A">
        <w:t>Two annotated documents to be submitted</w:t>
      </w:r>
      <w:r w:rsidR="00654EBE">
        <w:t xml:space="preserve"> – budget proposal and budget monitoring tool</w:t>
      </w:r>
    </w:p>
    <w:p w14:paraId="29B1DF30" w14:textId="772EDB05" w:rsidR="000326CC" w:rsidRDefault="000326CC" w:rsidP="008D6994">
      <w:pPr>
        <w:pStyle w:val="ListParagraph"/>
        <w:numPr>
          <w:ilvl w:val="0"/>
          <w:numId w:val="3"/>
        </w:numPr>
      </w:pPr>
      <w:r>
        <w:t xml:space="preserve">Remember to use annotation guide on </w:t>
      </w:r>
      <w:proofErr w:type="spellStart"/>
      <w:r>
        <w:t>pg</w:t>
      </w:r>
      <w:proofErr w:type="spellEnd"/>
      <w:r>
        <w:t xml:space="preserve"> 8 of your portfolio</w:t>
      </w:r>
    </w:p>
    <w:p w14:paraId="5B955742" w14:textId="0B417657" w:rsidR="00F546EA" w:rsidRDefault="00F546EA" w:rsidP="008D6994">
      <w:pPr>
        <w:pStyle w:val="ListParagraph"/>
        <w:numPr>
          <w:ilvl w:val="0"/>
          <w:numId w:val="3"/>
        </w:numPr>
      </w:pPr>
      <w:r w:rsidRPr="008D6994">
        <w:rPr>
          <w:b/>
          <w:bCs/>
          <w:i/>
          <w:iCs/>
        </w:rPr>
        <w:t>Governance &amp; Accountability</w:t>
      </w:r>
      <w:r>
        <w:t xml:space="preserve"> is a key resource</w:t>
      </w:r>
    </w:p>
    <w:p w14:paraId="45CDC0F1" w14:textId="77777777" w:rsidR="003350A5" w:rsidRPr="003350A5" w:rsidRDefault="003350A5" w:rsidP="003350A5">
      <w:pPr>
        <w:rPr>
          <w:b/>
          <w:bCs/>
        </w:rPr>
      </w:pPr>
      <w:r w:rsidRPr="003350A5">
        <w:rPr>
          <w:b/>
          <w:bCs/>
        </w:rPr>
        <w:t xml:space="preserve">Common pitfalls </w:t>
      </w:r>
    </w:p>
    <w:p w14:paraId="016FAAE2" w14:textId="4DAE199E" w:rsidR="003350A5" w:rsidRPr="003350A5" w:rsidRDefault="003350A5" w:rsidP="004F61F3">
      <w:pPr>
        <w:pStyle w:val="ListParagraph"/>
        <w:numPr>
          <w:ilvl w:val="0"/>
          <w:numId w:val="3"/>
        </w:numPr>
      </w:pPr>
      <w:r w:rsidRPr="003350A5">
        <w:t>There should be a budget for non-precept income as well as expenditure.  It is rare for a council to have no other income but if so, it should be made clear to the assessor.</w:t>
      </w:r>
    </w:p>
    <w:p w14:paraId="33FB3E99" w14:textId="11159BA1" w:rsidR="003350A5" w:rsidRPr="003350A5" w:rsidRDefault="003350A5" w:rsidP="004F61F3">
      <w:pPr>
        <w:pStyle w:val="ListParagraph"/>
        <w:numPr>
          <w:ilvl w:val="0"/>
          <w:numId w:val="3"/>
        </w:numPr>
      </w:pPr>
      <w:r w:rsidRPr="003350A5">
        <w:t xml:space="preserve">The budget proposal usually compares three years of information in four columns: </w:t>
      </w:r>
    </w:p>
    <w:p w14:paraId="489D4AA6" w14:textId="7052FA86" w:rsidR="003350A5" w:rsidRPr="003350A5" w:rsidRDefault="003350A5" w:rsidP="004F61F3">
      <w:pPr>
        <w:pStyle w:val="ListParagraph"/>
      </w:pPr>
      <w:r w:rsidRPr="003350A5">
        <w:t xml:space="preserve">the end-of year figures for the last financial </w:t>
      </w:r>
      <w:proofErr w:type="gramStart"/>
      <w:r w:rsidRPr="003350A5">
        <w:t>year;</w:t>
      </w:r>
      <w:proofErr w:type="gramEnd"/>
      <w:r w:rsidRPr="003350A5">
        <w:t xml:space="preserve"> </w:t>
      </w:r>
    </w:p>
    <w:p w14:paraId="5545AA31" w14:textId="5470F10F" w:rsidR="003350A5" w:rsidRPr="003350A5" w:rsidRDefault="003350A5" w:rsidP="004F61F3">
      <w:pPr>
        <w:pStyle w:val="ListParagraph"/>
      </w:pPr>
      <w:r w:rsidRPr="003350A5">
        <w:t xml:space="preserve">the current year (budget and expected figures for the end-of-year) </w:t>
      </w:r>
    </w:p>
    <w:p w14:paraId="6C9F00E6" w14:textId="2EF7A79C" w:rsidR="003350A5" w:rsidRPr="003350A5" w:rsidRDefault="003350A5" w:rsidP="004F61F3">
      <w:pPr>
        <w:pStyle w:val="ListParagraph"/>
      </w:pPr>
      <w:r w:rsidRPr="003350A5">
        <w:t xml:space="preserve">and the proposals for the next financial year. </w:t>
      </w:r>
    </w:p>
    <w:p w14:paraId="2AF2755C" w14:textId="77777777" w:rsidR="003350A5" w:rsidRPr="003350A5" w:rsidRDefault="003350A5" w:rsidP="004F61F3">
      <w:pPr>
        <w:pStyle w:val="ListParagraph"/>
        <w:numPr>
          <w:ilvl w:val="0"/>
          <w:numId w:val="3"/>
        </w:numPr>
      </w:pPr>
      <w:r w:rsidRPr="003350A5">
        <w:t>If the budget is not set out in this way, the learner should explain and note good practice.</w:t>
      </w:r>
    </w:p>
    <w:p w14:paraId="328D235D" w14:textId="279A04A7" w:rsidR="003350A5" w:rsidRPr="003350A5" w:rsidRDefault="003350A5" w:rsidP="004F61F3">
      <w:pPr>
        <w:pStyle w:val="ListParagraph"/>
        <w:numPr>
          <w:ilvl w:val="0"/>
          <w:numId w:val="3"/>
        </w:numPr>
      </w:pPr>
      <w:r w:rsidRPr="003350A5">
        <w:t xml:space="preserve">The precept calculation must be clear.  If the software hides the calculation, it should be set out again in the annotations document.  </w:t>
      </w:r>
    </w:p>
    <w:p w14:paraId="5728DDEF" w14:textId="5C0FFE6B" w:rsidR="00220474" w:rsidRPr="003350A5" w:rsidRDefault="003350A5" w:rsidP="004F61F3">
      <w:pPr>
        <w:pStyle w:val="ListParagraph"/>
        <w:numPr>
          <w:ilvl w:val="0"/>
          <w:numId w:val="3"/>
        </w:numPr>
      </w:pPr>
      <w:r w:rsidRPr="003350A5">
        <w:t xml:space="preserve">Notes for your councillors are not the same as notes for your assessor.  </w:t>
      </w:r>
    </w:p>
    <w:p w14:paraId="6E143EB3" w14:textId="46E4EB6F" w:rsidR="000326CC" w:rsidRPr="00654EBE" w:rsidRDefault="00AD7650">
      <w:pPr>
        <w:rPr>
          <w:b/>
          <w:bCs/>
        </w:rPr>
      </w:pPr>
      <w:r w:rsidRPr="00654EBE">
        <w:rPr>
          <w:b/>
          <w:bCs/>
        </w:rPr>
        <w:t>LO15</w:t>
      </w:r>
    </w:p>
    <w:p w14:paraId="69131303" w14:textId="0E84E06C" w:rsidR="00AD7650" w:rsidRDefault="00AD7650" w:rsidP="00654EBE">
      <w:pPr>
        <w:pStyle w:val="ListParagraph"/>
        <w:numPr>
          <w:ilvl w:val="0"/>
          <w:numId w:val="6"/>
        </w:numPr>
      </w:pPr>
      <w:r>
        <w:t>One annotated document</w:t>
      </w:r>
      <w:r w:rsidR="00654EBE">
        <w:t xml:space="preserve"> - </w:t>
      </w:r>
      <w:r w:rsidR="00BD5863" w:rsidRPr="00BD5863">
        <w:t>mid-year extract from the cash book and related bank reconciliation (not the year-end)</w:t>
      </w:r>
      <w:r w:rsidR="00B6050D">
        <w:t xml:space="preserve"> </w:t>
      </w:r>
    </w:p>
    <w:p w14:paraId="5E2D4263" w14:textId="77777777" w:rsidR="00654EBE" w:rsidRDefault="00654EBE" w:rsidP="00654EBE">
      <w:pPr>
        <w:pStyle w:val="ListParagraph"/>
        <w:numPr>
          <w:ilvl w:val="0"/>
          <w:numId w:val="3"/>
        </w:numPr>
      </w:pPr>
      <w:r>
        <w:t xml:space="preserve">Remember to use annotation guide on </w:t>
      </w:r>
      <w:proofErr w:type="spellStart"/>
      <w:r>
        <w:t>pg</w:t>
      </w:r>
      <w:proofErr w:type="spellEnd"/>
      <w:r>
        <w:t xml:space="preserve"> 8 of your portfolio</w:t>
      </w:r>
    </w:p>
    <w:p w14:paraId="0958BAAB" w14:textId="1AA2426A" w:rsidR="00654EBE" w:rsidRDefault="00654EBE" w:rsidP="00654EBE">
      <w:pPr>
        <w:pStyle w:val="ListParagraph"/>
        <w:numPr>
          <w:ilvl w:val="0"/>
          <w:numId w:val="3"/>
        </w:numPr>
      </w:pPr>
      <w:r w:rsidRPr="008D6994">
        <w:rPr>
          <w:b/>
          <w:bCs/>
          <w:i/>
          <w:iCs/>
        </w:rPr>
        <w:t>Governance &amp; Accountability</w:t>
      </w:r>
      <w:r>
        <w:t xml:space="preserve"> is a key resource</w:t>
      </w:r>
    </w:p>
    <w:p w14:paraId="5DDA924E" w14:textId="50AF1CC6" w:rsidR="00B6050D" w:rsidRDefault="00B6050D" w:rsidP="00654EBE">
      <w:pPr>
        <w:pStyle w:val="ListParagraph"/>
        <w:numPr>
          <w:ilvl w:val="0"/>
          <w:numId w:val="3"/>
        </w:numPr>
      </w:pPr>
      <w:r>
        <w:t xml:space="preserve">If you use accounting </w:t>
      </w:r>
      <w:proofErr w:type="gramStart"/>
      <w:r>
        <w:t>software</w:t>
      </w:r>
      <w:proofErr w:type="gramEnd"/>
      <w:r>
        <w:t xml:space="preserve"> you can use screenshots or export into an excel document</w:t>
      </w:r>
    </w:p>
    <w:p w14:paraId="3539F0CE" w14:textId="77777777" w:rsidR="00220474" w:rsidRDefault="00220474">
      <w:pPr>
        <w:rPr>
          <w:b/>
          <w:bCs/>
        </w:rPr>
      </w:pPr>
    </w:p>
    <w:p w14:paraId="725E0D74" w14:textId="55D70725" w:rsidR="00FC63D2" w:rsidRDefault="00FC63D2">
      <w:pPr>
        <w:rPr>
          <w:b/>
          <w:bCs/>
        </w:rPr>
      </w:pPr>
      <w:r w:rsidRPr="00354FAB">
        <w:rPr>
          <w:b/>
          <w:bCs/>
        </w:rPr>
        <w:t xml:space="preserve">LO19 </w:t>
      </w:r>
    </w:p>
    <w:p w14:paraId="09DF9B11" w14:textId="6A6C10A3" w:rsidR="00354FAB" w:rsidRPr="00F14B45" w:rsidRDefault="000C3E41" w:rsidP="008D6994">
      <w:pPr>
        <w:pStyle w:val="ListParagraph"/>
        <w:numPr>
          <w:ilvl w:val="0"/>
          <w:numId w:val="4"/>
        </w:numPr>
      </w:pPr>
      <w:r w:rsidRPr="00F14B45">
        <w:t xml:space="preserve">This is a written explanation </w:t>
      </w:r>
      <w:proofErr w:type="gramStart"/>
      <w:r w:rsidR="00292092" w:rsidRPr="00F14B45">
        <w:t>350 word</w:t>
      </w:r>
      <w:proofErr w:type="gramEnd"/>
      <w:r w:rsidR="00292092" w:rsidRPr="00F14B45">
        <w:t xml:space="preserve"> limit</w:t>
      </w:r>
    </w:p>
    <w:p w14:paraId="4EC71E9F" w14:textId="6B942681" w:rsidR="00F14B45" w:rsidRPr="008D6994" w:rsidRDefault="00317355" w:rsidP="008D6994">
      <w:pPr>
        <w:pStyle w:val="ListParagraph"/>
        <w:numPr>
          <w:ilvl w:val="0"/>
          <w:numId w:val="4"/>
        </w:numPr>
        <w:rPr>
          <w:b/>
          <w:bCs/>
        </w:rPr>
      </w:pPr>
      <w:hyperlink r:id="rId8" w:history="1">
        <w:r w:rsidR="00F14B45" w:rsidRPr="00F14B45">
          <w:rPr>
            <w:rStyle w:val="Hyperlink"/>
          </w:rPr>
          <w:t>https://www.gov.uk/guidance/local-authorities-and-similar-bodies-notice-749</w:t>
        </w:r>
      </w:hyperlink>
      <w:r w:rsidR="00F14B45" w:rsidRPr="008D6994">
        <w:rPr>
          <w:b/>
          <w:bCs/>
        </w:rPr>
        <w:t xml:space="preserve"> </w:t>
      </w:r>
    </w:p>
    <w:p w14:paraId="2D9622C4" w14:textId="3CD72A80" w:rsidR="00B77B9D" w:rsidRDefault="00B77B9D" w:rsidP="008D6994">
      <w:pPr>
        <w:pStyle w:val="ListParagraph"/>
        <w:numPr>
          <w:ilvl w:val="0"/>
          <w:numId w:val="4"/>
        </w:numPr>
      </w:pPr>
      <w:r w:rsidRPr="00B77B9D">
        <w:t xml:space="preserve">Further training </w:t>
      </w:r>
      <w:hyperlink r:id="rId9" w:history="1">
        <w:r w:rsidRPr="00B77B9D">
          <w:rPr>
            <w:rStyle w:val="Hyperlink"/>
          </w:rPr>
          <w:t>https://www.northantscalc.com/an-introduction-to-vat1.html</w:t>
        </w:r>
      </w:hyperlink>
      <w:r w:rsidRPr="00B77B9D">
        <w:t xml:space="preserve"> </w:t>
      </w:r>
    </w:p>
    <w:p w14:paraId="185C42A4" w14:textId="77777777" w:rsidR="00220474" w:rsidRDefault="00220474" w:rsidP="00205CC4">
      <w:pPr>
        <w:rPr>
          <w:b/>
          <w:bCs/>
        </w:rPr>
      </w:pPr>
    </w:p>
    <w:p w14:paraId="25865668" w14:textId="0AD7EAED" w:rsidR="00205CC4" w:rsidRPr="00220474" w:rsidRDefault="00205CC4" w:rsidP="00205CC4">
      <w:pPr>
        <w:rPr>
          <w:b/>
          <w:bCs/>
        </w:rPr>
      </w:pPr>
      <w:r w:rsidRPr="00220474">
        <w:rPr>
          <w:b/>
          <w:bCs/>
        </w:rPr>
        <w:t>LO20</w:t>
      </w:r>
    </w:p>
    <w:p w14:paraId="0BA8A7EF" w14:textId="4B6ED1A2" w:rsidR="00205CC4" w:rsidRDefault="00722CFF" w:rsidP="00FD41BE">
      <w:pPr>
        <w:pStyle w:val="ListParagraph"/>
        <w:numPr>
          <w:ilvl w:val="0"/>
          <w:numId w:val="8"/>
        </w:numPr>
      </w:pPr>
      <w:r>
        <w:t xml:space="preserve">This is a written explanation </w:t>
      </w:r>
      <w:proofErr w:type="gramStart"/>
      <w:r w:rsidR="00FD41BE">
        <w:t>400 word</w:t>
      </w:r>
      <w:proofErr w:type="gramEnd"/>
      <w:r w:rsidR="00FD41BE">
        <w:t xml:space="preserve"> limit</w:t>
      </w:r>
    </w:p>
    <w:p w14:paraId="497C76C3" w14:textId="77777777" w:rsidR="00220474" w:rsidRDefault="00FD41BE" w:rsidP="004B1D29">
      <w:pPr>
        <w:pStyle w:val="ListParagraph"/>
        <w:numPr>
          <w:ilvl w:val="0"/>
          <w:numId w:val="8"/>
        </w:numPr>
      </w:pPr>
      <w:r w:rsidRPr="00220474">
        <w:rPr>
          <w:b/>
          <w:bCs/>
          <w:i/>
          <w:iCs/>
        </w:rPr>
        <w:t>Governance &amp; Accountability</w:t>
      </w:r>
      <w:r>
        <w:t xml:space="preserve"> is a key resource</w:t>
      </w:r>
    </w:p>
    <w:p w14:paraId="1BBE9C2F" w14:textId="72EEAD54" w:rsidR="004B1D29" w:rsidRDefault="004B1D29" w:rsidP="004B1D29">
      <w:pPr>
        <w:pStyle w:val="ListParagraph"/>
        <w:numPr>
          <w:ilvl w:val="0"/>
          <w:numId w:val="8"/>
        </w:numPr>
      </w:pPr>
      <w:r>
        <w:t xml:space="preserve">You may wish to complete this in a chronological table with columns under headings for timing, action, the purpose of the action, a legal reference (for statutory duties) and the person or body responsible. </w:t>
      </w:r>
    </w:p>
    <w:p w14:paraId="2911C33A" w14:textId="325F2D2C" w:rsidR="00220474" w:rsidRDefault="00220474" w:rsidP="004B1D29">
      <w:pPr>
        <w:pStyle w:val="ListParagraph"/>
        <w:numPr>
          <w:ilvl w:val="0"/>
          <w:numId w:val="8"/>
        </w:numPr>
      </w:pPr>
      <w:r>
        <w:t>Legal references in the footnote</w:t>
      </w:r>
    </w:p>
    <w:p w14:paraId="54D1EE48" w14:textId="77777777" w:rsidR="00317355" w:rsidRDefault="00317355" w:rsidP="00317355">
      <w:pPr>
        <w:rPr>
          <w:rFonts w:cstheme="minorHAnsi"/>
          <w:b/>
          <w:bCs/>
        </w:rPr>
      </w:pPr>
    </w:p>
    <w:p w14:paraId="1B9653E4" w14:textId="07A80B9B" w:rsidR="00317355" w:rsidRPr="00484CA2" w:rsidRDefault="00317355" w:rsidP="00317355">
      <w:pPr>
        <w:rPr>
          <w:rFonts w:cstheme="minorHAnsi"/>
          <w:b/>
          <w:bCs/>
        </w:rPr>
      </w:pPr>
      <w:r w:rsidRPr="00484CA2">
        <w:rPr>
          <w:rFonts w:cstheme="minorHAnsi"/>
          <w:b/>
          <w:bCs/>
        </w:rPr>
        <w:t>Common pitfalls</w:t>
      </w:r>
    </w:p>
    <w:p w14:paraId="711D2419" w14:textId="77777777" w:rsidR="00317355" w:rsidRPr="00484CA2" w:rsidRDefault="00317355" w:rsidP="00317355">
      <w:pPr>
        <w:pStyle w:val="ListParagraph"/>
        <w:numPr>
          <w:ilvl w:val="0"/>
          <w:numId w:val="9"/>
        </w:numPr>
        <w:rPr>
          <w:rFonts w:cstheme="minorHAnsi"/>
        </w:rPr>
      </w:pPr>
      <w:r w:rsidRPr="00484CA2">
        <w:rPr>
          <w:rFonts w:cstheme="minorHAnsi"/>
        </w:rPr>
        <w:t>Learners must distinguish between duties (with a legal reference) and responsibilities (good practice not required by law).  It is essential to demonstrate legal requirements.</w:t>
      </w:r>
    </w:p>
    <w:p w14:paraId="05FEBDDC" w14:textId="77777777" w:rsidR="00317355" w:rsidRPr="00484CA2" w:rsidRDefault="00317355" w:rsidP="00317355">
      <w:pPr>
        <w:pStyle w:val="ListParagraph"/>
        <w:numPr>
          <w:ilvl w:val="0"/>
          <w:numId w:val="9"/>
        </w:numPr>
        <w:rPr>
          <w:rFonts w:cstheme="minorHAnsi"/>
        </w:rPr>
      </w:pPr>
      <w:r w:rsidRPr="00484CA2">
        <w:rPr>
          <w:rFonts w:cstheme="minorHAnsi"/>
        </w:rPr>
        <w:t xml:space="preserve">Learners should demonstrate a sound awareness of codes or guidance relevant to their category of council.  </w:t>
      </w:r>
    </w:p>
    <w:p w14:paraId="18C64E42" w14:textId="77777777" w:rsidR="00317355" w:rsidRPr="00484CA2" w:rsidRDefault="00317355" w:rsidP="00317355">
      <w:pPr>
        <w:pStyle w:val="ListParagraph"/>
        <w:numPr>
          <w:ilvl w:val="0"/>
          <w:numId w:val="9"/>
        </w:numPr>
        <w:rPr>
          <w:rFonts w:cstheme="minorHAnsi"/>
        </w:rPr>
      </w:pPr>
      <w:r w:rsidRPr="00484CA2">
        <w:rPr>
          <w:rFonts w:cstheme="minorHAnsi"/>
        </w:rPr>
        <w:t>Learners check that they have covered the purpose of key stages in the process.</w:t>
      </w:r>
    </w:p>
    <w:p w14:paraId="0AB4E956" w14:textId="77777777" w:rsidR="00317355" w:rsidRPr="00484CA2" w:rsidRDefault="00317355" w:rsidP="00317355">
      <w:pPr>
        <w:pStyle w:val="ListParagraph"/>
        <w:numPr>
          <w:ilvl w:val="0"/>
          <w:numId w:val="9"/>
        </w:numPr>
        <w:rPr>
          <w:rFonts w:cstheme="minorHAnsi"/>
        </w:rPr>
      </w:pPr>
      <w:r w:rsidRPr="00484CA2">
        <w:rPr>
          <w:rFonts w:cstheme="minorHAnsi"/>
        </w:rPr>
        <w:t>The difference between internal control (see LO18) and internal audit should be clear.</w:t>
      </w:r>
    </w:p>
    <w:p w14:paraId="596833ED" w14:textId="77777777" w:rsidR="00317355" w:rsidRPr="00484CA2" w:rsidRDefault="00317355" w:rsidP="00317355">
      <w:pPr>
        <w:pStyle w:val="ListParagraph"/>
        <w:numPr>
          <w:ilvl w:val="0"/>
          <w:numId w:val="9"/>
        </w:numPr>
        <w:rPr>
          <w:rFonts w:cstheme="minorHAnsi"/>
        </w:rPr>
      </w:pPr>
      <w:r w:rsidRPr="00484CA2">
        <w:rPr>
          <w:rFonts w:cstheme="minorHAnsi"/>
        </w:rPr>
        <w:t>Where the clerk is also the RFO, candidates can confuse the two roles.  It is important to be clear which roles belong to the clerk and which belong to the RFO.</w:t>
      </w:r>
    </w:p>
    <w:p w14:paraId="756D0F7C" w14:textId="77777777" w:rsidR="00FD41BE" w:rsidRPr="00B77B9D" w:rsidRDefault="00FD41BE" w:rsidP="00205CC4"/>
    <w:sectPr w:rsidR="00FD41BE" w:rsidRPr="00B77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722"/>
    <w:multiLevelType w:val="hybridMultilevel"/>
    <w:tmpl w:val="041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16A"/>
    <w:multiLevelType w:val="hybridMultilevel"/>
    <w:tmpl w:val="3ECE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455A"/>
    <w:multiLevelType w:val="hybridMultilevel"/>
    <w:tmpl w:val="93D0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0281"/>
    <w:multiLevelType w:val="hybridMultilevel"/>
    <w:tmpl w:val="9E2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F24DB"/>
    <w:multiLevelType w:val="hybridMultilevel"/>
    <w:tmpl w:val="DC58D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B586F"/>
    <w:multiLevelType w:val="hybridMultilevel"/>
    <w:tmpl w:val="BDD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463"/>
    <w:multiLevelType w:val="hybridMultilevel"/>
    <w:tmpl w:val="98DA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45EBA"/>
    <w:multiLevelType w:val="hybridMultilevel"/>
    <w:tmpl w:val="C3F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43419"/>
    <w:multiLevelType w:val="hybridMultilevel"/>
    <w:tmpl w:val="CD90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2"/>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97"/>
    <w:rsid w:val="000326CC"/>
    <w:rsid w:val="000B6661"/>
    <w:rsid w:val="000C3E41"/>
    <w:rsid w:val="00205CC4"/>
    <w:rsid w:val="00220474"/>
    <w:rsid w:val="00292092"/>
    <w:rsid w:val="00312C0F"/>
    <w:rsid w:val="00317355"/>
    <w:rsid w:val="003350A5"/>
    <w:rsid w:val="00354FAB"/>
    <w:rsid w:val="003B3B56"/>
    <w:rsid w:val="004B1D29"/>
    <w:rsid w:val="004F1C3A"/>
    <w:rsid w:val="004F61F3"/>
    <w:rsid w:val="00531914"/>
    <w:rsid w:val="00623CA8"/>
    <w:rsid w:val="00654EBE"/>
    <w:rsid w:val="00722CFF"/>
    <w:rsid w:val="007A21E5"/>
    <w:rsid w:val="00804A0D"/>
    <w:rsid w:val="008C08EA"/>
    <w:rsid w:val="008D6994"/>
    <w:rsid w:val="008E49E4"/>
    <w:rsid w:val="009D55B1"/>
    <w:rsid w:val="00AC47C6"/>
    <w:rsid w:val="00AD7650"/>
    <w:rsid w:val="00B0645A"/>
    <w:rsid w:val="00B6050D"/>
    <w:rsid w:val="00B77B9D"/>
    <w:rsid w:val="00B86666"/>
    <w:rsid w:val="00BD5863"/>
    <w:rsid w:val="00BF1F22"/>
    <w:rsid w:val="00D10DB3"/>
    <w:rsid w:val="00D40A7D"/>
    <w:rsid w:val="00EA4102"/>
    <w:rsid w:val="00ED7E4A"/>
    <w:rsid w:val="00F14B45"/>
    <w:rsid w:val="00F546EA"/>
    <w:rsid w:val="00F60897"/>
    <w:rsid w:val="00FC63D2"/>
    <w:rsid w:val="00FD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E1A0"/>
  <w15:chartTrackingRefBased/>
  <w15:docId w15:val="{7FE83E5E-D4EF-449C-8F9A-F223B3B8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C63D2"/>
    <w:pPr>
      <w:spacing w:after="120" w:line="240" w:lineRule="auto"/>
    </w:pPr>
    <w:rPr>
      <w:rFonts w:eastAsia="Times New Roman" w:cstheme="minorHAnsi"/>
      <w:sz w:val="24"/>
      <w:szCs w:val="24"/>
    </w:rPr>
  </w:style>
  <w:style w:type="character" w:customStyle="1" w:styleId="BodyTextChar">
    <w:name w:val="Body Text Char"/>
    <w:basedOn w:val="DefaultParagraphFont"/>
    <w:link w:val="BodyText"/>
    <w:uiPriority w:val="99"/>
    <w:rsid w:val="00FC63D2"/>
    <w:rPr>
      <w:rFonts w:eastAsia="Times New Roman" w:cstheme="minorHAnsi"/>
      <w:sz w:val="24"/>
      <w:szCs w:val="24"/>
    </w:rPr>
  </w:style>
  <w:style w:type="paragraph" w:styleId="NoSpacing">
    <w:name w:val="No Spacing"/>
    <w:uiPriority w:val="1"/>
    <w:qFormat/>
    <w:rsid w:val="00FC63D2"/>
    <w:pPr>
      <w:spacing w:after="0" w:line="240" w:lineRule="auto"/>
    </w:pPr>
    <w:rPr>
      <w:rFonts w:eastAsia="Times New Roman" w:cstheme="minorHAnsi"/>
      <w:sz w:val="24"/>
      <w:szCs w:val="24"/>
    </w:rPr>
  </w:style>
  <w:style w:type="paragraph" w:styleId="ListParagraph">
    <w:name w:val="List Paragraph"/>
    <w:basedOn w:val="Normal"/>
    <w:uiPriority w:val="34"/>
    <w:qFormat/>
    <w:rsid w:val="00354FAB"/>
    <w:pPr>
      <w:ind w:left="720"/>
      <w:contextualSpacing/>
    </w:pPr>
  </w:style>
  <w:style w:type="character" w:styleId="Hyperlink">
    <w:name w:val="Hyperlink"/>
    <w:basedOn w:val="DefaultParagraphFont"/>
    <w:uiPriority w:val="99"/>
    <w:unhideWhenUsed/>
    <w:rsid w:val="00F14B45"/>
    <w:rPr>
      <w:color w:val="0563C1" w:themeColor="hyperlink"/>
      <w:u w:val="single"/>
    </w:rPr>
  </w:style>
  <w:style w:type="character" w:styleId="UnresolvedMention">
    <w:name w:val="Unresolved Mention"/>
    <w:basedOn w:val="DefaultParagraphFont"/>
    <w:uiPriority w:val="99"/>
    <w:semiHidden/>
    <w:unhideWhenUsed/>
    <w:rsid w:val="00F1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local-authorities-and-similar-bodies-notice-74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antscalc.com/an-introduction-to-va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ded450a526fa82ec748b6d67928fe338">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182644a736a1c2d9d2de85fb10e7ab6"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82D75-21F9-48A5-86E1-5F1A3CF53883}"/>
</file>

<file path=customXml/itemProps2.xml><?xml version="1.0" encoding="utf-8"?>
<ds:datastoreItem xmlns:ds="http://schemas.openxmlformats.org/officeDocument/2006/customXml" ds:itemID="{A065A05E-1661-4B5A-95B3-35E40D757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6A28F-B7B3-49D6-AFC5-9E8F2DFB8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Marie Reilly</cp:lastModifiedBy>
  <cp:revision>40</cp:revision>
  <dcterms:created xsi:type="dcterms:W3CDTF">2021-07-01T11:45:00Z</dcterms:created>
  <dcterms:modified xsi:type="dcterms:W3CDTF">2021-11-01T14:26:00Z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